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D3" w:rsidRPr="00372F7D" w:rsidRDefault="00025E54" w:rsidP="00C01AD3">
      <w:pPr>
        <w:shd w:val="clear" w:color="auto" w:fill="FFFFFF"/>
        <w:spacing w:line="272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color w:val="002469"/>
          <w:sz w:val="18"/>
          <w:szCs w:val="18"/>
          <w:lang w:val="en-US" w:eastAsia="ru-RU"/>
        </w:rPr>
      </w:pPr>
      <w:r w:rsidRPr="00372F7D">
        <w:rPr>
          <w:rFonts w:ascii="Arial" w:eastAsia="Times New Roman" w:hAnsi="Arial" w:cs="Arial"/>
          <w:noProof/>
          <w:color w:val="002469"/>
          <w:sz w:val="18"/>
          <w:szCs w:val="18"/>
          <w:lang w:eastAsia="ru-RU"/>
        </w:rPr>
        <w:drawing>
          <wp:inline distT="0" distB="0" distL="0" distR="0">
            <wp:extent cx="610679" cy="732817"/>
            <wp:effectExtent l="19050" t="0" r="0" b="0"/>
            <wp:docPr id="1" name="Рисунок 0" descr="cfuv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uv_r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9" cy="7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7D">
        <w:rPr>
          <w:rFonts w:ascii="Arial" w:eastAsia="Times New Roman" w:hAnsi="Arial" w:cs="Arial"/>
          <w:noProof/>
          <w:color w:val="002469"/>
          <w:sz w:val="18"/>
          <w:szCs w:val="18"/>
          <w:lang w:eastAsia="ru-RU"/>
        </w:rPr>
        <w:drawing>
          <wp:inline distT="0" distB="0" distL="0" distR="0">
            <wp:extent cx="584799" cy="584799"/>
            <wp:effectExtent l="19050" t="0" r="5751" b="0"/>
            <wp:docPr id="2" name="Рисунок 1" descr="ipm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e_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7" cy="59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7D">
        <w:rPr>
          <w:rFonts w:ascii="Arial" w:eastAsia="Times New Roman" w:hAnsi="Arial" w:cs="Arial"/>
          <w:noProof/>
          <w:color w:val="002469"/>
          <w:sz w:val="18"/>
          <w:szCs w:val="18"/>
          <w:lang w:eastAsia="ru-RU"/>
        </w:rPr>
        <w:drawing>
          <wp:inline distT="0" distB="0" distL="0" distR="0">
            <wp:extent cx="627931" cy="627931"/>
            <wp:effectExtent l="19050" t="0" r="719" b="0"/>
            <wp:docPr id="3" name="Рисунок 2" descr="ip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r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0" cy="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7D">
        <w:rPr>
          <w:rFonts w:ascii="Arial" w:eastAsia="Times New Roman" w:hAnsi="Arial" w:cs="Arial"/>
          <w:noProof/>
          <w:color w:val="002469"/>
          <w:sz w:val="18"/>
          <w:szCs w:val="18"/>
          <w:lang w:eastAsia="ru-RU"/>
        </w:rPr>
        <w:drawing>
          <wp:inline distT="0" distB="0" distL="0" distR="0">
            <wp:extent cx="584799" cy="584799"/>
            <wp:effectExtent l="19050" t="0" r="5751" b="0"/>
            <wp:docPr id="4" name="Рисунок 3" descr="nsc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_r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9" cy="5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7D">
        <w:rPr>
          <w:rFonts w:ascii="Arial" w:eastAsia="Times New Roman" w:hAnsi="Arial" w:cs="Arial"/>
          <w:noProof/>
          <w:color w:val="002469"/>
          <w:sz w:val="18"/>
          <w:szCs w:val="18"/>
          <w:lang w:eastAsia="ru-RU"/>
        </w:rPr>
        <w:drawing>
          <wp:inline distT="0" distB="0" distL="0" distR="0">
            <wp:extent cx="584799" cy="584799"/>
            <wp:effectExtent l="19050" t="0" r="5751" b="0"/>
            <wp:docPr id="5" name="Рисунок 4" descr="spb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u_r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94" cy="5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7D">
        <w:rPr>
          <w:rFonts w:ascii="Arial" w:eastAsia="Times New Roman" w:hAnsi="Arial" w:cs="Arial"/>
          <w:noProof/>
          <w:color w:val="002469"/>
          <w:sz w:val="18"/>
          <w:szCs w:val="18"/>
          <w:lang w:eastAsia="ru-RU"/>
        </w:rPr>
        <w:drawing>
          <wp:inline distT="0" distB="0" distL="0" distR="0">
            <wp:extent cx="484661" cy="581594"/>
            <wp:effectExtent l="19050" t="0" r="0" b="0"/>
            <wp:docPr id="6" name="Рисунок 5" descr="u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u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27" cy="58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54" w:rsidRPr="00372F7D" w:rsidRDefault="00025E54" w:rsidP="00025E54">
      <w:pPr>
        <w:spacing w:line="240" w:lineRule="auto"/>
        <w:ind w:firstLine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372F7D">
        <w:rPr>
          <w:rFonts w:ascii="Arial" w:hAnsi="Arial" w:cs="Arial"/>
          <w:b/>
          <w:color w:val="0070C0"/>
          <w:sz w:val="18"/>
          <w:szCs w:val="18"/>
        </w:rPr>
        <w:t>Крымский федеральный университет имени В.И. Вернадского</w:t>
      </w:r>
    </w:p>
    <w:p w:rsidR="00025E54" w:rsidRPr="00372F7D" w:rsidRDefault="00025E54" w:rsidP="00025E54">
      <w:pPr>
        <w:spacing w:line="240" w:lineRule="auto"/>
        <w:ind w:firstLine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372F7D">
        <w:rPr>
          <w:rFonts w:ascii="Arial" w:hAnsi="Arial" w:cs="Arial"/>
          <w:b/>
          <w:color w:val="0070C0"/>
          <w:sz w:val="18"/>
          <w:szCs w:val="18"/>
        </w:rPr>
        <w:t>Институт Проблем </w:t>
      </w:r>
      <w:proofErr w:type="spellStart"/>
      <w:proofErr w:type="gramStart"/>
      <w:r w:rsidRPr="00372F7D">
        <w:rPr>
          <w:rFonts w:ascii="Arial" w:hAnsi="Arial" w:cs="Arial"/>
          <w:b/>
          <w:color w:val="0070C0"/>
          <w:sz w:val="18"/>
          <w:szCs w:val="18"/>
        </w:rPr>
        <w:t>M</w:t>
      </w:r>
      <w:proofErr w:type="gramEnd"/>
      <w:r w:rsidRPr="00372F7D">
        <w:rPr>
          <w:rFonts w:ascii="Arial" w:hAnsi="Arial" w:cs="Arial"/>
          <w:b/>
          <w:color w:val="0070C0"/>
          <w:sz w:val="18"/>
          <w:szCs w:val="18"/>
        </w:rPr>
        <w:t>ашиноведения</w:t>
      </w:r>
      <w:proofErr w:type="spellEnd"/>
      <w:r w:rsidRPr="00372F7D">
        <w:rPr>
          <w:rFonts w:ascii="Arial" w:hAnsi="Arial" w:cs="Arial"/>
          <w:b/>
          <w:color w:val="0070C0"/>
          <w:sz w:val="18"/>
          <w:szCs w:val="18"/>
        </w:rPr>
        <w:t xml:space="preserve"> Российской Академии Наук (</w:t>
      </w:r>
      <w:proofErr w:type="spellStart"/>
      <w:r w:rsidRPr="00372F7D">
        <w:rPr>
          <w:rFonts w:ascii="Arial" w:hAnsi="Arial" w:cs="Arial"/>
          <w:b/>
          <w:color w:val="0070C0"/>
          <w:sz w:val="18"/>
          <w:szCs w:val="18"/>
        </w:rPr>
        <w:t>ИПМаш</w:t>
      </w:r>
      <w:proofErr w:type="spellEnd"/>
      <w:r w:rsidRPr="00372F7D">
        <w:rPr>
          <w:rFonts w:ascii="Arial" w:hAnsi="Arial" w:cs="Arial"/>
          <w:b/>
          <w:color w:val="0070C0"/>
          <w:sz w:val="18"/>
          <w:szCs w:val="18"/>
        </w:rPr>
        <w:t> РАН)</w:t>
      </w:r>
    </w:p>
    <w:p w:rsidR="00025E54" w:rsidRPr="00372F7D" w:rsidRDefault="00025E54" w:rsidP="00025E54">
      <w:pPr>
        <w:spacing w:line="240" w:lineRule="auto"/>
        <w:ind w:firstLine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372F7D">
        <w:rPr>
          <w:rFonts w:ascii="Arial" w:hAnsi="Arial" w:cs="Arial"/>
          <w:b/>
          <w:color w:val="0070C0"/>
          <w:sz w:val="18"/>
          <w:szCs w:val="18"/>
        </w:rPr>
        <w:t>Институт проблем управления им. В. А. Трапезникова Российской академии наук</w:t>
      </w:r>
    </w:p>
    <w:p w:rsidR="00025E54" w:rsidRPr="00372F7D" w:rsidRDefault="00025E54" w:rsidP="00025E54">
      <w:pPr>
        <w:spacing w:line="240" w:lineRule="auto"/>
        <w:ind w:firstLine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372F7D">
        <w:rPr>
          <w:rFonts w:ascii="Arial" w:hAnsi="Arial" w:cs="Arial"/>
          <w:b/>
          <w:color w:val="0070C0"/>
          <w:sz w:val="18"/>
          <w:szCs w:val="18"/>
        </w:rPr>
        <w:t>Институт математики им. С. Л. Соболева</w:t>
      </w:r>
    </w:p>
    <w:p w:rsidR="00025E54" w:rsidRPr="00372F7D" w:rsidRDefault="00025E54" w:rsidP="00025E54">
      <w:pPr>
        <w:spacing w:line="240" w:lineRule="auto"/>
        <w:ind w:firstLine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372F7D">
        <w:rPr>
          <w:rFonts w:ascii="Arial" w:hAnsi="Arial" w:cs="Arial"/>
          <w:b/>
          <w:color w:val="0070C0"/>
          <w:sz w:val="18"/>
          <w:szCs w:val="18"/>
        </w:rPr>
        <w:t>Санкт-Петербургский государственный университет</w:t>
      </w:r>
    </w:p>
    <w:p w:rsidR="00025E54" w:rsidRPr="00372F7D" w:rsidRDefault="00025E54" w:rsidP="00025E54">
      <w:pPr>
        <w:spacing w:line="240" w:lineRule="auto"/>
        <w:ind w:firstLine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372F7D">
        <w:rPr>
          <w:rFonts w:ascii="Arial" w:hAnsi="Arial" w:cs="Arial"/>
          <w:b/>
          <w:color w:val="0070C0"/>
          <w:sz w:val="18"/>
          <w:szCs w:val="18"/>
        </w:rPr>
        <w:t>Южный Федеральный Университет</w:t>
      </w:r>
    </w:p>
    <w:p w:rsidR="008115CB" w:rsidRPr="008115CB" w:rsidRDefault="008115CB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color w:val="0F243E" w:themeColor="text2" w:themeShade="80"/>
          <w:sz w:val="22"/>
          <w:lang w:val="en-US" w:eastAsia="ru-RU"/>
        </w:rPr>
      </w:pPr>
      <w:r w:rsidRPr="008115CB">
        <w:rPr>
          <w:rFonts w:ascii="Arial" w:eastAsia="Times New Roman" w:hAnsi="Arial" w:cs="Arial"/>
          <w:b/>
          <w:color w:val="0F243E" w:themeColor="text2" w:themeShade="80"/>
          <w:sz w:val="22"/>
          <w:lang w:val="en-US" w:eastAsia="ru-RU"/>
        </w:rPr>
        <w:t>ECTST-2019</w:t>
      </w:r>
    </w:p>
    <w:p w:rsidR="00C01AD3" w:rsidRPr="00372F7D" w:rsidRDefault="00C01AD3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>Всероссийская научно-практическая конференция с международным участием</w:t>
      </w:r>
      <w:r w:rsidRPr="00372F7D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 xml:space="preserve"> </w:t>
      </w:r>
    </w:p>
    <w:p w:rsidR="00025E54" w:rsidRPr="008115CB" w:rsidRDefault="00C01AD3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 xml:space="preserve">«Уравнения типа свертки в науке и технологиях», </w:t>
      </w:r>
    </w:p>
    <w:p w:rsidR="00C01AD3" w:rsidRPr="00C01AD3" w:rsidRDefault="00C01AD3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002469"/>
          <w:sz w:val="18"/>
          <w:szCs w:val="18"/>
          <w:lang w:eastAsia="ru-RU"/>
        </w:rPr>
      </w:pPr>
      <w:proofErr w:type="gramStart"/>
      <w:r w:rsidRPr="00C01AD3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>посвященная</w:t>
      </w:r>
      <w:proofErr w:type="gramEnd"/>
      <w:r w:rsidRPr="00C01AD3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 xml:space="preserve"> 90-летию со дня рождения</w:t>
      </w:r>
      <w:r w:rsidRPr="00372F7D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 xml:space="preserve"> </w:t>
      </w:r>
      <w:r w:rsidRPr="00C01AD3">
        <w:rPr>
          <w:rFonts w:ascii="Arial" w:eastAsia="Times New Roman" w:hAnsi="Arial" w:cs="Arial"/>
          <w:b/>
          <w:color w:val="0F243E" w:themeColor="text2" w:themeShade="80"/>
          <w:sz w:val="18"/>
          <w:szCs w:val="18"/>
          <w:lang w:eastAsia="ru-RU"/>
        </w:rPr>
        <w:t>Ю.И. Черского</w:t>
      </w:r>
    </w:p>
    <w:p w:rsidR="00C01AD3" w:rsidRPr="00C01AD3" w:rsidRDefault="00025E54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Н</w:t>
      </w:r>
      <w:r w:rsidR="00C01AD3" w:rsidRPr="00C01AD3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аправления работы:</w:t>
      </w:r>
    </w:p>
    <w:p w:rsidR="00C01AD3" w:rsidRPr="00372F7D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Уравнения типа свертки и краевые задачи теории аналитических функций:</w:t>
      </w:r>
    </w:p>
    <w:p w:rsidR="00C01AD3" w:rsidRPr="00C01AD3" w:rsidRDefault="00C01AD3" w:rsidP="00C01AD3">
      <w:pPr>
        <w:shd w:val="clear" w:color="auto" w:fill="FFFFFF"/>
        <w:spacing w:line="240" w:lineRule="auto"/>
        <w:ind w:left="340" w:firstLine="0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интегральные уравнения; </w:t>
      </w:r>
      <w:r w:rsidR="008115CB"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интегро-дифференциальные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уравнения в обычных и частных производных; краевые задачи для уравнений в частных производных, сводящиеся к уравнениям типа свертки (УТС); дискретные УТС; операторные УТС; УТС в пространстве обобщенных функций.</w:t>
      </w:r>
    </w:p>
    <w:p w:rsidR="00C01AD3" w:rsidRPr="00C01AD3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Дифференциальные уравнения, математическая физика, геометрия.</w:t>
      </w:r>
    </w:p>
    <w:p w:rsidR="00C01AD3" w:rsidRPr="00C01AD3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Нелинейные уравнения типа свертки.</w:t>
      </w:r>
    </w:p>
    <w:p w:rsidR="00C01AD3" w:rsidRPr="00C01AD3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Нелинейные динамические системы. Оптимальное управление.</w:t>
      </w:r>
    </w:p>
    <w:p w:rsidR="00C01AD3" w:rsidRPr="00C01AD3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Некорректные и обратные задачи.</w:t>
      </w:r>
    </w:p>
    <w:p w:rsidR="00C01AD3" w:rsidRPr="00C01AD3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Методы оптимизации. Экстремальные задачи. Приближенные методы решения.</w:t>
      </w:r>
    </w:p>
    <w:p w:rsidR="00C01AD3" w:rsidRPr="00C01AD3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Междисциплинарные исследования, приложения уравнений типа свертки:</w:t>
      </w:r>
      <w:r w:rsidRPr="00372F7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прикладные задачи техники; восстановление изображений; косвенные измерения; интеллектуализация обработки больших данных;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сверточные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нейронные сети; задачи прогнозирования, интерполирования и фильтрации случайных процессов; задачи обобщенной теории риска.</w:t>
      </w:r>
    </w:p>
    <w:p w:rsidR="00C01AD3" w:rsidRPr="00372F7D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рамках круглого стола каждый участник может предложить свое направление, если наберет пять и более учас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ников.</w:t>
      </w:r>
      <w:r w:rsidR="00025E54" w:rsidRPr="00372F7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программе конференции планируются 30-40 минутные пленарные лекции и 15-20 минутные доклады, а также стендовые доклады.</w:t>
      </w:r>
    </w:p>
    <w:p w:rsidR="00C01AD3" w:rsidRPr="00372F7D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Рабочие языки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русский, английский.</w:t>
      </w:r>
    </w:p>
    <w:p w:rsidR="00C01AD3" w:rsidRPr="00372F7D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После получения уведомления о включении доклада в программу конференции участникам из России и стран СНГ следует оплатить регистрационный взнос в размере 2500 руб. (для студентов/аспирантов – 1000 руб., необходим документ об обучении).</w:t>
      </w:r>
    </w:p>
    <w:p w:rsidR="00C01AD3" w:rsidRPr="00372F7D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Предполагается выпуск сборника тезисов и размещение докладов в форме статей в журнале «Динамические си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темы» (</w:t>
      </w:r>
      <w:hyperlink r:id="rId12" w:history="1">
        <w:r w:rsidRPr="00372F7D">
          <w:rPr>
            <w:rFonts w:ascii="Arial" w:eastAsia="Times New Roman" w:hAnsi="Arial" w:cs="Arial"/>
            <w:color w:val="0056DB"/>
            <w:sz w:val="18"/>
            <w:szCs w:val="18"/>
            <w:lang w:eastAsia="ru-RU"/>
          </w:rPr>
          <w:t>dynsys2011@yandex.ru</w:t>
        </w:r>
      </w:hyperlink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 сборнике научных трудов «МИКМО-2019» (</w:t>
      </w:r>
      <w:hyperlink r:id="rId13" w:history="1">
        <w:r w:rsidRPr="00372F7D">
          <w:rPr>
            <w:rFonts w:ascii="Arial" w:eastAsia="Times New Roman" w:hAnsi="Arial" w:cs="Arial"/>
            <w:color w:val="0056DB"/>
            <w:sz w:val="18"/>
            <w:szCs w:val="18"/>
            <w:lang w:eastAsia="ru-RU"/>
          </w:rPr>
          <w:t>http://micme.cfuv.ru</w:t>
        </w:r>
      </w:hyperlink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 </w:t>
      </w:r>
      <w:hyperlink r:id="rId14" w:history="1">
        <w:r w:rsidRPr="00372F7D">
          <w:rPr>
            <w:rFonts w:ascii="Arial" w:eastAsia="Times New Roman" w:hAnsi="Arial" w:cs="Arial"/>
            <w:color w:val="0056DB"/>
            <w:sz w:val="18"/>
            <w:szCs w:val="18"/>
            <w:lang w:eastAsia="ru-RU"/>
          </w:rPr>
          <w:t>micme2017@yandex.ru</w:t>
        </w:r>
      </w:hyperlink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</w:t>
      </w:r>
    </w:p>
    <w:p w:rsidR="00C01AD3" w:rsidRPr="00372F7D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Регистрация и подача тезисов до 25 августа 2019 года. Уведомление о включении доклада в программу до 5 сентября 2019 года.</w:t>
      </w:r>
    </w:p>
    <w:p w:rsidR="00C01AD3" w:rsidRPr="00C01AD3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Работа конференции будет проходить в </w:t>
      </w:r>
      <w:proofErr w:type="spellStart"/>
      <w:proofErr w:type="gram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парк-отеле</w:t>
      </w:r>
      <w:proofErr w:type="spellEnd"/>
      <w:proofErr w:type="gram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«Глория» </w:t>
      </w:r>
      <w:hyperlink r:id="rId15" w:history="1">
        <w:r w:rsidRPr="00372F7D">
          <w:rPr>
            <w:rFonts w:ascii="Arial" w:eastAsia="Times New Roman" w:hAnsi="Arial" w:cs="Arial"/>
            <w:color w:val="0056DB"/>
            <w:sz w:val="18"/>
            <w:szCs w:val="18"/>
            <w:lang w:eastAsia="ru-RU"/>
          </w:rPr>
          <w:t>http://gloriya-hotel.com</w:t>
        </w:r>
      </w:hyperlink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Мисхор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(Большая Ялта), Ре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публика Крым.</w:t>
      </w:r>
    </w:p>
    <w:p w:rsidR="00C01AD3" w:rsidRPr="00372F7D" w:rsidRDefault="00C01AD3" w:rsidP="00025E5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Размещение участников Международной конференции «Уравнения типа свертки в науке и технологиях» </w:t>
      </w:r>
      <w:r w:rsidR="00025E54"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  <w:t>c</w:t>
      </w: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25 по 28 сентября 2019 года</w:t>
      </w:r>
      <w:r w:rsidR="00025E54"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в отеле</w:t>
      </w: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«Глория», </w:t>
      </w:r>
      <w:proofErr w:type="spellStart"/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Мисхор</w:t>
      </w:r>
      <w:proofErr w:type="spellEnd"/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, г. Ялта</w:t>
      </w:r>
    </w:p>
    <w:p w:rsidR="00C01AD3" w:rsidRPr="00C01AD3" w:rsidRDefault="00C01AD3" w:rsidP="00C01A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Парк-отель, территория которого является частью знаменитого парка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Чаир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расположен в 500 м от набережной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Мисхора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в 150 м от моря. На территории Парка-Отеля находится исторический культурный памятник – дача Нарышк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ных. Усадьба принадлежала князю Л. А. Нарышкину – одному из представителей знатного дворянского рода. Уникальность данного места заключается в его климатических условиях, благоприятных для отдыха и лечения в любое время года. К услугам отдыхающих: кафе-бар, летнее кафе,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СПА-центр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(бассейн, финская сауна, инфракрасная сауна, парная,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спеле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комната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различные виды массажей, а также программы по уходу за телом), охраняемая автостоянка.</w:t>
      </w:r>
    </w:p>
    <w:p w:rsidR="00C01AD3" w:rsidRPr="00372F7D" w:rsidRDefault="00C01AD3" w:rsidP="00C01AD3">
      <w:pPr>
        <w:pStyle w:val="a6"/>
        <w:numPr>
          <w:ilvl w:val="0"/>
          <w:numId w:val="3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Размещение: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 xml:space="preserve"> отель представляет собой ряд корпусов с великолепно оборудованными номерами. </w:t>
      </w:r>
      <w:proofErr w:type="gramStart"/>
      <w:r w:rsidRPr="00372F7D">
        <w:rPr>
          <w:rFonts w:ascii="Arial" w:eastAsia="Times New Roman" w:hAnsi="Arial" w:cs="Arial"/>
          <w:sz w:val="18"/>
          <w:szCs w:val="18"/>
          <w:lang w:eastAsia="ru-RU"/>
        </w:rPr>
        <w:t>Номера осн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>щены всем необходимым для комфортного отдыха: набор мебели, телевизор (спутниковое ТВ), кондиционер, п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>суда, электрочайник, душ, санузел, балкон;</w:t>
      </w:r>
      <w:proofErr w:type="gramEnd"/>
    </w:p>
    <w:p w:rsidR="00C01AD3" w:rsidRPr="00372F7D" w:rsidRDefault="00C01AD3" w:rsidP="00C01AD3">
      <w:pPr>
        <w:pStyle w:val="a6"/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sz w:val="18"/>
          <w:szCs w:val="18"/>
          <w:lang w:eastAsia="ru-RU"/>
        </w:rPr>
        <w:t>- эконом: корпус «Дача Нарышкиных» номера без балконов;</w:t>
      </w:r>
    </w:p>
    <w:p w:rsidR="00C01AD3" w:rsidRPr="00372F7D" w:rsidRDefault="00C01AD3" w:rsidP="00C01AD3">
      <w:pPr>
        <w:pStyle w:val="a6"/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372F7D">
        <w:rPr>
          <w:rFonts w:ascii="Arial" w:eastAsia="Times New Roman" w:hAnsi="Arial" w:cs="Arial"/>
          <w:sz w:val="18"/>
          <w:szCs w:val="18"/>
          <w:lang w:eastAsia="ru-RU"/>
        </w:rPr>
        <w:t>- стандарт: корпус «Лотос» и «Глория» с балконами, кондиционерами, преимущественно раздельными кроватями;</w:t>
      </w:r>
      <w:proofErr w:type="gramEnd"/>
    </w:p>
    <w:p w:rsidR="00C01AD3" w:rsidRPr="00372F7D" w:rsidRDefault="00C01AD3" w:rsidP="00C01AD3">
      <w:pPr>
        <w:pStyle w:val="a6"/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spellStart"/>
      <w:r w:rsidRPr="00372F7D">
        <w:rPr>
          <w:rFonts w:ascii="Arial" w:eastAsia="Times New Roman" w:hAnsi="Arial" w:cs="Arial"/>
          <w:sz w:val="18"/>
          <w:szCs w:val="18"/>
          <w:lang w:eastAsia="ru-RU"/>
        </w:rPr>
        <w:t>полулюкс</w:t>
      </w:r>
      <w:proofErr w:type="spellEnd"/>
      <w:r w:rsidRPr="00372F7D">
        <w:rPr>
          <w:rFonts w:ascii="Arial" w:eastAsia="Times New Roman" w:hAnsi="Arial" w:cs="Arial"/>
          <w:sz w:val="18"/>
          <w:szCs w:val="18"/>
          <w:lang w:eastAsia="ru-RU"/>
        </w:rPr>
        <w:t xml:space="preserve"> – корпус «Лотос» и «Глория» с балконами, кондиционерами.</w:t>
      </w:r>
    </w:p>
    <w:p w:rsidR="00C01AD3" w:rsidRPr="00372F7D" w:rsidRDefault="00C01AD3" w:rsidP="00C01AD3">
      <w:pPr>
        <w:pStyle w:val="a6"/>
        <w:numPr>
          <w:ilvl w:val="0"/>
          <w:numId w:val="2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sz w:val="18"/>
          <w:szCs w:val="18"/>
          <w:lang w:eastAsia="ru-RU"/>
        </w:rPr>
        <w:t>Холодная и горячая вода круглосуточно;</w:t>
      </w:r>
    </w:p>
    <w:p w:rsidR="00C01AD3" w:rsidRPr="00372F7D" w:rsidRDefault="00C01AD3" w:rsidP="00C01AD3">
      <w:pPr>
        <w:pStyle w:val="a6"/>
        <w:numPr>
          <w:ilvl w:val="0"/>
          <w:numId w:val="2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Пляж: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72F7D">
        <w:rPr>
          <w:rFonts w:ascii="Arial" w:eastAsia="Times New Roman" w:hAnsi="Arial" w:cs="Arial"/>
          <w:sz w:val="18"/>
          <w:szCs w:val="18"/>
          <w:lang w:eastAsia="ru-RU"/>
        </w:rPr>
        <w:t>мелкогалечный</w:t>
      </w:r>
      <w:proofErr w:type="spellEnd"/>
      <w:r w:rsidRPr="00372F7D">
        <w:rPr>
          <w:rFonts w:ascii="Arial" w:eastAsia="Times New Roman" w:hAnsi="Arial" w:cs="Arial"/>
          <w:sz w:val="18"/>
          <w:szCs w:val="18"/>
          <w:lang w:eastAsia="ru-RU"/>
        </w:rPr>
        <w:t>, в 150 м от отеля, оборудован теневыми навесами, шезлонгами;</w:t>
      </w:r>
    </w:p>
    <w:p w:rsidR="00C01AD3" w:rsidRPr="00372F7D" w:rsidRDefault="00C01AD3" w:rsidP="00C01AD3">
      <w:pPr>
        <w:pStyle w:val="a6"/>
        <w:numPr>
          <w:ilvl w:val="0"/>
          <w:numId w:val="2"/>
        </w:num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</w:t>
      </w:r>
      <w:r w:rsidRPr="00372F7D">
        <w:rPr>
          <w:rFonts w:ascii="Arial" w:eastAsia="Times New Roman" w:hAnsi="Arial" w:cs="Arial"/>
          <w:sz w:val="18"/>
          <w:szCs w:val="18"/>
          <w:lang w:eastAsia="ru-RU"/>
        </w:rPr>
        <w:t> завтрак, обед.</w:t>
      </w:r>
    </w:p>
    <w:p w:rsidR="00C01AD3" w:rsidRPr="00C01AD3" w:rsidRDefault="00C01AD3" w:rsidP="00C01AD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участников конференции предлагаются льготные цены: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2380"/>
        <w:gridCol w:w="2380"/>
      </w:tblGrid>
      <w:tr w:rsidR="00C01AD3" w:rsidRPr="00C01AD3" w:rsidTr="00C01AD3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за номер с завтраком и обедом в рублях</w:t>
            </w:r>
          </w:p>
        </w:tc>
      </w:tr>
      <w:tr w:rsidR="00C01AD3" w:rsidRPr="00C01AD3" w:rsidTr="00C01AD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чел. в номере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чел. в номере</w:t>
            </w:r>
          </w:p>
        </w:tc>
      </w:tr>
      <w:tr w:rsidR="00C01AD3" w:rsidRPr="00C01AD3" w:rsidTr="00C01AD3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01AD3" w:rsidRPr="00C01AD3" w:rsidTr="00C01AD3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5200</w:t>
            </w:r>
          </w:p>
        </w:tc>
      </w:tr>
      <w:tr w:rsidR="00C01AD3" w:rsidRPr="00C01AD3" w:rsidTr="00C01AD3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Полулюкс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C01AD3" w:rsidRPr="00C01AD3" w:rsidRDefault="00C01AD3" w:rsidP="00C01AD3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2F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6200</w:t>
            </w:r>
          </w:p>
        </w:tc>
      </w:tr>
    </w:tbl>
    <w:p w:rsidR="00C01AD3" w:rsidRPr="00372F7D" w:rsidRDefault="00C01AD3" w:rsidP="00C01AD3">
      <w:pPr>
        <w:shd w:val="clear" w:color="auto" w:fill="FFFFFF"/>
        <w:spacing w:line="240" w:lineRule="auto"/>
        <w:ind w:firstLine="0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Возможны и другие варианты</w:t>
      </w:r>
      <w:r w:rsidR="008115CB" w:rsidRPr="008115C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="008115C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размещения</w:t>
      </w: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r w:rsidRPr="00372F7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</w:p>
    <w:p w:rsidR="00C01AD3" w:rsidRPr="00372F7D" w:rsidRDefault="00C01AD3" w:rsidP="00372F7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Размещение и организационные услуги предоставляет </w:t>
      </w:r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ООО «</w:t>
      </w:r>
      <w:proofErr w:type="spellStart"/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Алан-Турсервис</w:t>
      </w:r>
      <w:proofErr w:type="spellEnd"/>
      <w:r w:rsidRPr="00372F7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Плюс»</w:t>
      </w:r>
    </w:p>
    <w:p w:rsidR="00025E54" w:rsidRDefault="00C01AD3" w:rsidP="008115CB">
      <w:pPr>
        <w:shd w:val="clear" w:color="auto" w:fill="FFFFFF"/>
        <w:spacing w:line="240" w:lineRule="auto"/>
        <w:textAlignment w:val="baseline"/>
      </w:pPr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295000, Республика Крым, </w:t>
      </w:r>
      <w:proofErr w:type="gram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</w:t>
      </w:r>
      <w:proofErr w:type="gram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Симферополь, ул. Октябрьская, 15, </w:t>
      </w:r>
      <w:proofErr w:type="spellStart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оф</w:t>
      </w:r>
      <w:proofErr w:type="spellEnd"/>
      <w:r w:rsidRPr="00C01AD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1, тел. (3652) 60-86-22(33), </w:t>
      </w:r>
      <w:hyperlink r:id="rId16" w:history="1">
        <w:r w:rsidRPr="00372F7D">
          <w:rPr>
            <w:rFonts w:ascii="Arial" w:eastAsia="Times New Roman" w:hAnsi="Arial" w:cs="Arial"/>
            <w:color w:val="0056DB"/>
            <w:sz w:val="18"/>
            <w:szCs w:val="18"/>
            <w:lang w:eastAsia="ru-RU"/>
          </w:rPr>
          <w:t>alantur_plus@mail.ru</w:t>
        </w:r>
      </w:hyperlink>
      <w:r w:rsidR="008115CB">
        <w:t xml:space="preserve"> </w:t>
      </w:r>
      <w:r w:rsidR="00372F7D" w:rsidRPr="00372F7D">
        <w:rPr>
          <w:rFonts w:ascii="Arial" w:hAnsi="Arial" w:cs="Arial"/>
          <w:sz w:val="18"/>
          <w:szCs w:val="18"/>
        </w:rPr>
        <w:t>Координаторы:</w:t>
      </w:r>
      <w:r w:rsidR="00372F7D" w:rsidRPr="008115CB">
        <w:rPr>
          <w:rFonts w:ascii="Arial" w:hAnsi="Arial" w:cs="Arial"/>
          <w:sz w:val="18"/>
          <w:szCs w:val="18"/>
        </w:rPr>
        <w:t xml:space="preserve"> </w:t>
      </w:r>
      <w:r w:rsidR="00372F7D" w:rsidRPr="00372F7D">
        <w:rPr>
          <w:rFonts w:ascii="Arial" w:hAnsi="Arial" w:cs="Arial"/>
          <w:sz w:val="18"/>
          <w:szCs w:val="18"/>
        </w:rPr>
        <w:t>Дегтярева Екатерина, </w:t>
      </w:r>
      <w:hyperlink r:id="rId17" w:history="1">
        <w:r w:rsidR="00372F7D" w:rsidRPr="00372F7D">
          <w:rPr>
            <w:rStyle w:val="a5"/>
            <w:rFonts w:ascii="Arial" w:hAnsi="Arial" w:cs="Arial"/>
            <w:sz w:val="18"/>
            <w:szCs w:val="18"/>
          </w:rPr>
          <w:t>8-978-748-25-08 </w:t>
        </w:r>
      </w:hyperlink>
      <w:r w:rsidR="00372F7D" w:rsidRPr="00372F7D">
        <w:rPr>
          <w:rFonts w:ascii="Arial" w:hAnsi="Arial" w:cs="Arial"/>
          <w:sz w:val="18"/>
          <w:szCs w:val="18"/>
        </w:rPr>
        <w:t>; Харитонова Светлана, </w:t>
      </w:r>
      <w:hyperlink r:id="rId18" w:history="1">
        <w:r w:rsidR="00372F7D" w:rsidRPr="00372F7D">
          <w:rPr>
            <w:rStyle w:val="a5"/>
            <w:rFonts w:ascii="Arial" w:hAnsi="Arial" w:cs="Arial"/>
            <w:sz w:val="18"/>
            <w:szCs w:val="18"/>
          </w:rPr>
          <w:t>8-978-81-82-800</w:t>
        </w:r>
      </w:hyperlink>
    </w:p>
    <w:p w:rsidR="008115CB" w:rsidRDefault="008115CB" w:rsidP="008115CB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115CB" w:rsidRDefault="008115CB" w:rsidP="008115CB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115C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Сайт конференции: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hyperlink r:id="rId19" w:history="1">
        <w:r w:rsidRPr="008115CB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http://ectst.</w:t>
        </w:r>
        <w:r w:rsidRPr="008115CB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r</w:t>
        </w:r>
        <w:r w:rsidRPr="008115CB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u</w:t>
        </w:r>
      </w:hyperlink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</w:p>
    <w:p w:rsidR="008115CB" w:rsidRPr="008115CB" w:rsidRDefault="008115CB" w:rsidP="008115CB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18"/>
          <w:szCs w:val="18"/>
        </w:rPr>
      </w:pP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По всем вопросам просим обращаться в оргкомитет ECTST-2019: Мария </w:t>
      </w:r>
      <w:proofErr w:type="spellStart"/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Гер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манчук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моб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.: +7 978 576 62 23, +7 978 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091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66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21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Владимир Андреевич Лукьяненко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моб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.: +7 978 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729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16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55</w:t>
      </w:r>
      <w:r w:rsidRPr="008115CB">
        <w:rPr>
          <w:rFonts w:ascii="Arial" w:hAnsi="Arial" w:cs="Arial"/>
          <w:color w:val="222222"/>
          <w:sz w:val="18"/>
          <w:szCs w:val="18"/>
          <w:shd w:val="clear" w:color="auto" w:fill="FFFFFF"/>
        </w:rPr>
        <w:t>, e-mail:</w:t>
      </w:r>
      <w:hyperlink r:id="rId20" w:history="1">
        <w:r w:rsidRPr="008115CB">
          <w:rPr>
            <w:rFonts w:ascii="Arial" w:hAnsi="Arial" w:cs="Arial"/>
            <w:color w:val="0056DB"/>
            <w:sz w:val="18"/>
          </w:rPr>
          <w:t>cherskyectst@gmail.com</w:t>
        </w:r>
      </w:hyperlink>
    </w:p>
    <w:sectPr w:rsidR="008115CB" w:rsidRPr="008115CB" w:rsidSect="00372F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B3B"/>
    <w:multiLevelType w:val="multilevel"/>
    <w:tmpl w:val="ED32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2158"/>
    <w:multiLevelType w:val="hybridMultilevel"/>
    <w:tmpl w:val="CD20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4D65"/>
    <w:multiLevelType w:val="hybridMultilevel"/>
    <w:tmpl w:val="AFA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5747"/>
    <w:multiLevelType w:val="hybridMultilevel"/>
    <w:tmpl w:val="0046F6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C01AD3"/>
    <w:rsid w:val="00025E54"/>
    <w:rsid w:val="00372F7D"/>
    <w:rsid w:val="00444657"/>
    <w:rsid w:val="00522EC8"/>
    <w:rsid w:val="008115CB"/>
    <w:rsid w:val="00A076EE"/>
    <w:rsid w:val="00B22D8E"/>
    <w:rsid w:val="00C01AD3"/>
    <w:rsid w:val="00C8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C01AD3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A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D3"/>
    <w:rPr>
      <w:b/>
      <w:bCs/>
    </w:rPr>
  </w:style>
  <w:style w:type="character" w:styleId="a5">
    <w:name w:val="Hyperlink"/>
    <w:basedOn w:val="a0"/>
    <w:uiPriority w:val="99"/>
    <w:unhideWhenUsed/>
    <w:rsid w:val="00C01A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A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E5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115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icme.cfuv.ru/" TargetMode="External"/><Relationship Id="rId18" Type="http://schemas.openxmlformats.org/officeDocument/2006/relationships/hyperlink" Target="tel:897881828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dynsys2011@yandex.ru" TargetMode="External"/><Relationship Id="rId17" Type="http://schemas.openxmlformats.org/officeDocument/2006/relationships/hyperlink" Target="tel:8978748250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ntur_plus@mail.ru" TargetMode="External"/><Relationship Id="rId20" Type="http://schemas.openxmlformats.org/officeDocument/2006/relationships/hyperlink" Target="mailto:cherskyectst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gloriya-hotel.com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ect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icme2017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995B-B493-44C6-8B91-0853AADC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2019-07-21T09:45:00Z</cp:lastPrinted>
  <dcterms:created xsi:type="dcterms:W3CDTF">2019-07-21T09:16:00Z</dcterms:created>
  <dcterms:modified xsi:type="dcterms:W3CDTF">2019-07-31T14:59:00Z</dcterms:modified>
</cp:coreProperties>
</file>